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93" w:type="dxa"/>
        <w:tblInd w:w="108" w:type="dxa"/>
        <w:tblLook w:val="04A0"/>
      </w:tblPr>
      <w:tblGrid>
        <w:gridCol w:w="1688"/>
        <w:gridCol w:w="6398"/>
        <w:gridCol w:w="2354"/>
        <w:gridCol w:w="2110"/>
        <w:gridCol w:w="2496"/>
        <w:gridCol w:w="3247"/>
      </w:tblGrid>
      <w:tr w:rsidR="009505E5" w:rsidRPr="009505E5" w:rsidTr="009505E5">
        <w:trPr>
          <w:trHeight w:val="97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5E5" w:rsidRPr="009505E5" w:rsidRDefault="009505E5" w:rsidP="009505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pa-IN"/>
              </w:rPr>
            </w:pPr>
            <w:r w:rsidRPr="009505E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45720</wp:posOffset>
                  </wp:positionV>
                  <wp:extent cx="3208020" cy="350520"/>
                  <wp:effectExtent l="0" t="0" r="0" b="0"/>
                  <wp:wrapNone/>
                  <wp:docPr id="2" name="Group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9060" y="91440"/>
                            <a:ext cx="3086100" cy="228600"/>
                            <a:chOff x="99060" y="91440"/>
                            <a:chExt cx="3086100" cy="228600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3122405" cy="295434"/>
                              <a:chOff x="0" y="0"/>
                              <a:chExt cx="3122405" cy="295434"/>
                            </a:xfrm>
                          </a:grpSpPr>
                          <a:sp>
                            <a:nvSpPr>
                              <a:cNvPr id="3" name="Round Diagonal Corner Rectangle 2"/>
                              <a:cNvSpPr/>
                            </a:nvSpPr>
                            <a:spPr>
                              <a:xfrm>
                                <a:off x="0" y="0"/>
                                <a:ext cx="902028" cy="295434"/>
                              </a:xfrm>
                              <a:prstGeom prst="round2DiagRect">
                                <a:avLst/>
                              </a:prstGeom>
                            </a:spPr>
                            <a:txSp>
                              <a:txBody>
                                <a:bodyPr vertOverflow="clip" rtlCol="0" anchor="ctr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nl-NL" sz="1100" b="1"/>
                                    <a:t>Validate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" name="Round Diagonal Corner Rectangle 3"/>
                              <a:cNvSpPr/>
                            </a:nvSpPr>
                            <a:spPr>
                              <a:xfrm>
                                <a:off x="1125608" y="19696"/>
                                <a:ext cx="902028" cy="275738"/>
                              </a:xfrm>
                              <a:prstGeom prst="round2DiagRect">
                                <a:avLst/>
                              </a:prstGeom>
                            </a:spPr>
                            <a:txSp>
                              <a:txBody>
                                <a:bodyPr vertOverflow="clip" rtlCol="0" anchor="ctr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nl-NL" sz="1100" b="1"/>
                                    <a:t>Print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" name="Round Diagonal Corner Rectangle 4"/>
                              <a:cNvSpPr/>
                            </a:nvSpPr>
                            <a:spPr>
                              <a:xfrm>
                                <a:off x="2220377" y="0"/>
                                <a:ext cx="902028" cy="295434"/>
                              </a:xfrm>
                              <a:prstGeom prst="round2DiagRect">
                                <a:avLst/>
                              </a:prstGeom>
                            </a:spPr>
                            <a:txSp>
                              <a:txBody>
                                <a:bodyPr vertOverflow="clip" rtlCol="0" anchor="ctr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nl-NL" sz="1100" b="1"/>
                                    <a:t>Help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29"/>
            </w:tblGrid>
            <w:tr w:rsidR="009505E5" w:rsidRPr="009505E5" w:rsidTr="009505E5">
              <w:trPr>
                <w:trHeight w:val="97"/>
                <w:tblCellSpacing w:w="0" w:type="dxa"/>
              </w:trPr>
              <w:tc>
                <w:tcPr>
                  <w:tcW w:w="8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505E5" w:rsidRPr="009505E5" w:rsidRDefault="009505E5" w:rsidP="009505E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  <w:lang w:bidi="pa-IN"/>
                    </w:rPr>
                  </w:pPr>
                  <w:r w:rsidRPr="009505E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  <w:lang w:bidi="pa-IN"/>
                    </w:rPr>
                    <w:t xml:space="preserve">Item Rate </w:t>
                  </w:r>
                  <w:proofErr w:type="spellStart"/>
                  <w:r w:rsidRPr="009505E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  <w:lang w:bidi="pa-IN"/>
                    </w:rPr>
                    <w:t>BoQ</w:t>
                  </w:r>
                  <w:proofErr w:type="spellEnd"/>
                </w:p>
              </w:tc>
            </w:tr>
          </w:tbl>
          <w:p w:rsidR="009505E5" w:rsidRPr="009505E5" w:rsidRDefault="009505E5" w:rsidP="009505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5E5" w:rsidRPr="009505E5" w:rsidRDefault="009505E5" w:rsidP="009505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pa-I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5E5" w:rsidRPr="009505E5" w:rsidRDefault="009505E5" w:rsidP="009505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pa-IN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5E5" w:rsidRPr="009505E5" w:rsidRDefault="009505E5" w:rsidP="009505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pa-IN"/>
              </w:rPr>
            </w:pPr>
          </w:p>
        </w:tc>
      </w:tr>
      <w:tr w:rsidR="009505E5" w:rsidRPr="009505E5" w:rsidTr="009505E5">
        <w:trPr>
          <w:trHeight w:val="209"/>
        </w:trPr>
        <w:tc>
          <w:tcPr>
            <w:tcW w:w="18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E5" w:rsidRPr="009505E5" w:rsidRDefault="009505E5" w:rsidP="00950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pa-IN"/>
              </w:rPr>
              <w:t xml:space="preserve">Tender Inviting Authority: THE PUNJAB STATE COOP. SUPPLY &amp; MARKETING  FEDERATION LTD. (Markfed Canneries Village: </w:t>
            </w:r>
            <w:proofErr w:type="spellStart"/>
            <w:r w:rsidRPr="009505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pa-IN"/>
              </w:rPr>
              <w:t>Chuharwali</w:t>
            </w:r>
            <w:proofErr w:type="spellEnd"/>
            <w:r w:rsidRPr="009505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pa-IN"/>
              </w:rPr>
              <w:t>, Jalandhar)</w:t>
            </w:r>
          </w:p>
        </w:tc>
      </w:tr>
      <w:tr w:rsidR="009505E5" w:rsidRPr="009505E5" w:rsidTr="009505E5">
        <w:trPr>
          <w:trHeight w:val="209"/>
        </w:trPr>
        <w:tc>
          <w:tcPr>
            <w:tcW w:w="18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E5" w:rsidRPr="009505E5" w:rsidRDefault="009505E5" w:rsidP="00950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pa-IN"/>
              </w:rPr>
              <w:t xml:space="preserve">Name of Work: E-TENDER FOR APPOINTMENT OF CHA (Customs House Agent)  FOR CUSTOM CLEARANCE OF EXPORT CONSIGNMENTS for The Period from </w:t>
            </w:r>
            <w:r w:rsidR="0028633E" w:rsidRPr="00C234D2">
              <w:rPr>
                <w:rFonts w:ascii="Arial" w:hAnsi="Arial" w:cs="Arial"/>
                <w:b/>
                <w:bCs/>
                <w:color w:val="000000"/>
                <w:u w:val="single"/>
                <w:lang w:bidi="pa-IN"/>
              </w:rPr>
              <w:t>01.01.2025 to 31.12.2025</w:t>
            </w:r>
          </w:p>
        </w:tc>
      </w:tr>
      <w:tr w:rsidR="009505E5" w:rsidRPr="009505E5" w:rsidTr="009505E5">
        <w:trPr>
          <w:trHeight w:val="117"/>
        </w:trPr>
        <w:tc>
          <w:tcPr>
            <w:tcW w:w="18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E5" w:rsidRPr="009505E5" w:rsidRDefault="009505E5" w:rsidP="00286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pa-IN"/>
              </w:rPr>
              <w:t>Tender No. - (E-Tender No.:- MCJ/2024-25/</w:t>
            </w:r>
            <w:r w:rsidR="00286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pa-IN"/>
              </w:rPr>
              <w:t>11</w:t>
            </w:r>
            <w:r w:rsidRPr="009505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pa-IN"/>
              </w:rPr>
              <w:t>)</w:t>
            </w:r>
          </w:p>
        </w:tc>
      </w:tr>
      <w:tr w:rsidR="009505E5" w:rsidRPr="009505E5" w:rsidTr="009505E5">
        <w:trPr>
          <w:trHeight w:val="23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E5" w:rsidRPr="009505E5" w:rsidRDefault="009505E5" w:rsidP="00950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>Name of the Bidder/ Bidding Firm / Company :</w:t>
            </w:r>
          </w:p>
        </w:tc>
        <w:tc>
          <w:tcPr>
            <w:tcW w:w="16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9505E5" w:rsidRPr="009505E5" w:rsidRDefault="009505E5" w:rsidP="00950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> </w:t>
            </w:r>
          </w:p>
        </w:tc>
      </w:tr>
      <w:tr w:rsidR="009505E5" w:rsidRPr="009505E5" w:rsidTr="009505E5">
        <w:trPr>
          <w:trHeight w:val="233"/>
        </w:trPr>
        <w:tc>
          <w:tcPr>
            <w:tcW w:w="18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bidi="pa-IN"/>
              </w:rPr>
              <w:t xml:space="preserve">PRICE </w:t>
            </w:r>
            <w:proofErr w:type="gramStart"/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bidi="pa-IN"/>
              </w:rPr>
              <w:t>SCHEDULE</w:t>
            </w:r>
            <w:proofErr w:type="gramEnd"/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br/>
            </w:r>
            <w:r w:rsidRPr="009505E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bidi="pa-IN"/>
              </w:rPr>
              <w:t xml:space="preserve">(This BOQ template must not be modified/replaced by the bidder and the same should be uploaded after filling the </w:t>
            </w:r>
            <w:proofErr w:type="spellStart"/>
            <w:r w:rsidRPr="009505E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bidi="pa-IN"/>
              </w:rPr>
              <w:t>relevent</w:t>
            </w:r>
            <w:proofErr w:type="spellEnd"/>
            <w:r w:rsidRPr="009505E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bidi="pa-IN"/>
              </w:rPr>
              <w:t xml:space="preserve"> columns, else the bidder is liable to be rejected for this tender. Bidders are allowed to enter the Bidder Name and Values only )</w:t>
            </w:r>
          </w:p>
        </w:tc>
      </w:tr>
      <w:tr w:rsidR="009505E5" w:rsidRPr="009505E5" w:rsidTr="009505E5">
        <w:trPr>
          <w:trHeight w:val="71"/>
        </w:trPr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 xml:space="preserve">NUMBER </w:t>
            </w:r>
            <w:r w:rsidRPr="009505E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bidi="pa-IN"/>
              </w:rPr>
              <w:t>#</w:t>
            </w: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 xml:space="preserve">TEXT </w:t>
            </w:r>
            <w:r w:rsidRPr="009505E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bidi="pa-IN"/>
              </w:rPr>
              <w:t>#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 xml:space="preserve">TEXT </w:t>
            </w:r>
            <w:r w:rsidRPr="009505E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bidi="pa-IN"/>
              </w:rPr>
              <w:t>#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 xml:space="preserve">NUMBER </w:t>
            </w:r>
            <w:r w:rsidRPr="009505E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bidi="pa-IN"/>
              </w:rPr>
              <w:t>#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 xml:space="preserve">NUMBER </w:t>
            </w:r>
            <w:r w:rsidRPr="009505E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bidi="pa-IN"/>
              </w:rPr>
              <w:t>#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 xml:space="preserve">TEXT </w:t>
            </w:r>
            <w:r w:rsidRPr="009505E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bidi="pa-IN"/>
              </w:rPr>
              <w:t>#</w:t>
            </w:r>
          </w:p>
        </w:tc>
      </w:tr>
      <w:tr w:rsidR="009505E5" w:rsidRPr="009505E5" w:rsidTr="009505E5">
        <w:trPr>
          <w:trHeight w:val="35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>Sl.</w:t>
            </w: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br/>
              <w:t>No.</w:t>
            </w:r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>Item Description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>Units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 xml:space="preserve">RATE In </w:t>
            </w:r>
            <w:r w:rsidRPr="009505E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bidi="pa-IN"/>
              </w:rPr>
              <w:t>Figures</w:t>
            </w: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 xml:space="preserve"> To be entered by the </w:t>
            </w:r>
            <w:r w:rsidRPr="009505E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bidi="pa-IN"/>
              </w:rPr>
              <w:t>Bidder</w:t>
            </w: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 xml:space="preserve"> </w:t>
            </w: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br/>
            </w:r>
            <w:r w:rsidRPr="009505E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bidi="pa-IN"/>
              </w:rPr>
              <w:t>Rs.      P</w:t>
            </w: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br/>
              <w:t xml:space="preserve"> 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bidi="pa-IN"/>
              </w:rPr>
              <w:t xml:space="preserve">TOTAL </w:t>
            </w:r>
            <w:proofErr w:type="gramStart"/>
            <w:r w:rsidRPr="009505E5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bidi="pa-IN"/>
              </w:rPr>
              <w:t>AMOUNT  in</w:t>
            </w:r>
            <w:proofErr w:type="gramEnd"/>
            <w:r w:rsidRPr="009505E5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bidi="pa-IN"/>
              </w:rPr>
              <w:br/>
            </w:r>
            <w:r w:rsidRPr="009505E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bidi="pa-IN"/>
              </w:rPr>
              <w:t>Rs.      P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bidi="pa-IN"/>
              </w:rPr>
              <w:t xml:space="preserve">TOTAL AMOUNT </w:t>
            </w:r>
            <w:r w:rsidRPr="009505E5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bidi="pa-IN"/>
              </w:rPr>
              <w:br/>
              <w:t>In Words</w:t>
            </w:r>
          </w:p>
        </w:tc>
      </w:tr>
      <w:tr w:rsidR="009505E5" w:rsidRPr="009505E5" w:rsidTr="009505E5">
        <w:trPr>
          <w:trHeight w:val="5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>1</w:t>
            </w:r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>13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>53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>55</w:t>
            </w:r>
          </w:p>
        </w:tc>
      </w:tr>
      <w:tr w:rsidR="009505E5" w:rsidRPr="009505E5" w:rsidTr="009505E5">
        <w:trPr>
          <w:trHeight w:val="418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>1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E5" w:rsidRPr="009505E5" w:rsidRDefault="009505E5" w:rsidP="00950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 xml:space="preserve">a.   Agency / Clearance Charges. </w:t>
            </w: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br/>
              <w:t xml:space="preserve">b.    </w:t>
            </w:r>
            <w:proofErr w:type="spellStart"/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>Tralla</w:t>
            </w:r>
            <w:proofErr w:type="spellEnd"/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 xml:space="preserve"> / Transportation charges.</w:t>
            </w: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br/>
              <w:t>c.   EDI (Electronic data interchange).</w:t>
            </w: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br/>
              <w:t>d.    Lashing charges</w:t>
            </w: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br/>
              <w:t>e.    Other charges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>Single rate be quoted for 20ft. Container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>0.00</w:t>
            </w:r>
          </w:p>
        </w:tc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sz w:val="24"/>
                <w:szCs w:val="24"/>
                <w:lang w:bidi="pa-IN"/>
              </w:rPr>
              <w:t>INR Zero Only</w:t>
            </w:r>
          </w:p>
        </w:tc>
      </w:tr>
      <w:tr w:rsidR="009505E5" w:rsidRPr="009505E5" w:rsidTr="009505E5">
        <w:trPr>
          <w:trHeight w:val="44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>2</w:t>
            </w:r>
          </w:p>
        </w:tc>
        <w:tc>
          <w:tcPr>
            <w:tcW w:w="6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E5" w:rsidRPr="009505E5" w:rsidRDefault="009505E5" w:rsidP="00950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 xml:space="preserve">a.   Agency / Clearance Charges. </w:t>
            </w: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br/>
              <w:t xml:space="preserve">b.    </w:t>
            </w:r>
            <w:proofErr w:type="spellStart"/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>Tralla</w:t>
            </w:r>
            <w:proofErr w:type="spellEnd"/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 xml:space="preserve"> / Transportation charges.</w:t>
            </w: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br/>
              <w:t>c.   EDI (Electronic data interchange).</w:t>
            </w: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br/>
              <w:t>d.    Lashing charges</w:t>
            </w: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br/>
              <w:t>e.    Other charges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>Single rate be quoted for 40ft. Container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pa-IN"/>
              </w:rPr>
              <w:t>0.00</w:t>
            </w:r>
          </w:p>
        </w:tc>
        <w:tc>
          <w:tcPr>
            <w:tcW w:w="3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E5" w:rsidRPr="009505E5" w:rsidRDefault="009505E5" w:rsidP="009505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sz w:val="24"/>
                <w:szCs w:val="24"/>
                <w:lang w:bidi="pa-IN"/>
              </w:rPr>
              <w:t>INR Zero Only</w:t>
            </w:r>
          </w:p>
        </w:tc>
      </w:tr>
      <w:tr w:rsidR="009505E5" w:rsidRPr="009505E5" w:rsidTr="009505E5">
        <w:trPr>
          <w:trHeight w:val="132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505E5" w:rsidRPr="009505E5" w:rsidRDefault="009505E5" w:rsidP="009505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sz w:val="24"/>
                <w:szCs w:val="24"/>
                <w:lang w:bidi="pa-IN"/>
              </w:rPr>
              <w:t> </w:t>
            </w:r>
          </w:p>
        </w:tc>
        <w:tc>
          <w:tcPr>
            <w:tcW w:w="166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5E5" w:rsidRPr="009505E5" w:rsidRDefault="009505E5" w:rsidP="009505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bidi="pa-IN"/>
              </w:rPr>
            </w:pPr>
            <w:r w:rsidRPr="009505E5">
              <w:rPr>
                <w:rFonts w:ascii="Arial" w:eastAsia="Times New Roman" w:hAnsi="Arial" w:cs="Arial"/>
                <w:color w:val="FF0000"/>
                <w:sz w:val="24"/>
                <w:szCs w:val="24"/>
                <w:lang w:bidi="pa-IN"/>
              </w:rPr>
              <w:t xml:space="preserve">The rates will be inclusive of all </w:t>
            </w:r>
            <w:proofErr w:type="spellStart"/>
            <w:r w:rsidRPr="009505E5">
              <w:rPr>
                <w:rFonts w:ascii="Arial" w:eastAsia="Times New Roman" w:hAnsi="Arial" w:cs="Arial"/>
                <w:color w:val="FF0000"/>
                <w:sz w:val="24"/>
                <w:szCs w:val="24"/>
                <w:lang w:bidi="pa-IN"/>
              </w:rPr>
              <w:t>texes</w:t>
            </w:r>
            <w:proofErr w:type="spellEnd"/>
            <w:r w:rsidRPr="009505E5">
              <w:rPr>
                <w:rFonts w:ascii="Arial" w:eastAsia="Times New Roman" w:hAnsi="Arial" w:cs="Arial"/>
                <w:color w:val="FF0000"/>
                <w:sz w:val="24"/>
                <w:szCs w:val="24"/>
                <w:lang w:bidi="pa-IN"/>
              </w:rPr>
              <w:t xml:space="preserve">. Tender will be awarded to the L1. </w:t>
            </w:r>
          </w:p>
        </w:tc>
      </w:tr>
      <w:tr w:rsidR="009505E5" w:rsidRPr="009505E5" w:rsidTr="009505E5">
        <w:trPr>
          <w:trHeight w:val="55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5E5" w:rsidRPr="009505E5" w:rsidRDefault="009505E5" w:rsidP="009505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5E5" w:rsidRPr="009505E5" w:rsidRDefault="009505E5" w:rsidP="009505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5E5" w:rsidRPr="009505E5" w:rsidRDefault="009505E5" w:rsidP="009505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5E5" w:rsidRPr="009505E5" w:rsidRDefault="009505E5" w:rsidP="009505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505E5" w:rsidRPr="009505E5" w:rsidRDefault="009505E5" w:rsidP="009505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pa-IN"/>
              </w:rPr>
            </w:pPr>
            <w:r w:rsidRPr="009505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5E5" w:rsidRPr="009505E5" w:rsidRDefault="009505E5" w:rsidP="009505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9505E5" w:rsidRPr="009505E5" w:rsidTr="009505E5">
        <w:trPr>
          <w:trHeight w:val="55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5E5" w:rsidRPr="009505E5" w:rsidRDefault="009505E5" w:rsidP="009505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5E5" w:rsidRPr="009505E5" w:rsidRDefault="009505E5" w:rsidP="009505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505E5" w:rsidRPr="009505E5" w:rsidRDefault="009505E5" w:rsidP="009505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pa-IN"/>
              </w:rPr>
            </w:pPr>
            <w:r w:rsidRPr="009505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5E5" w:rsidRPr="009505E5" w:rsidRDefault="009505E5" w:rsidP="009505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5E5" w:rsidRPr="009505E5" w:rsidRDefault="009505E5" w:rsidP="009505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5E5" w:rsidRPr="009505E5" w:rsidRDefault="009505E5" w:rsidP="009505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pa-IN"/>
              </w:rPr>
            </w:pPr>
          </w:p>
        </w:tc>
      </w:tr>
    </w:tbl>
    <w:p w:rsidR="00B257A7" w:rsidRPr="009505E5" w:rsidRDefault="00B257A7">
      <w:pPr>
        <w:rPr>
          <w:sz w:val="24"/>
          <w:szCs w:val="24"/>
        </w:rPr>
      </w:pPr>
    </w:p>
    <w:sectPr w:rsidR="00B257A7" w:rsidRPr="009505E5" w:rsidSect="009505E5">
      <w:pgSz w:w="20160" w:h="12240" w:orient="landscape" w:code="5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05E5"/>
    <w:rsid w:val="0028633E"/>
    <w:rsid w:val="008C25CC"/>
    <w:rsid w:val="009505E5"/>
    <w:rsid w:val="00B2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Export1</dc:creator>
  <cp:lastModifiedBy>Dell</cp:lastModifiedBy>
  <cp:revision>2</cp:revision>
  <dcterms:created xsi:type="dcterms:W3CDTF">2024-08-27T09:42:00Z</dcterms:created>
  <dcterms:modified xsi:type="dcterms:W3CDTF">2024-11-20T10:44:00Z</dcterms:modified>
</cp:coreProperties>
</file>